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BCA" w:rsidRDefault="00DD5BCA" w:rsidP="00DD5BCA">
      <w:pPr>
        <w:autoSpaceDE w:val="0"/>
        <w:autoSpaceDN w:val="0"/>
        <w:jc w:val="center"/>
        <w:rPr>
          <w:noProof/>
        </w:rPr>
      </w:pPr>
      <w:bookmarkStart w:id="0" w:name="_GoBack"/>
      <w:bookmarkEnd w:id="0"/>
      <w:r>
        <w:rPr>
          <w:noProof/>
        </w:rPr>
        <w:t xml:space="preserve">  </w:t>
      </w:r>
      <w:r>
        <w:rPr>
          <w:noProof/>
        </w:rPr>
        <w:drawing>
          <wp:inline distT="0" distB="0" distL="0" distR="0" wp14:anchorId="493E8B1C" wp14:editId="7F6B98DE">
            <wp:extent cx="1504950" cy="876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504950" cy="876300"/>
                    </a:xfrm>
                    <a:prstGeom prst="rect">
                      <a:avLst/>
                    </a:prstGeom>
                  </pic:spPr>
                </pic:pic>
              </a:graphicData>
            </a:graphic>
          </wp:inline>
        </w:drawing>
      </w:r>
      <w:r>
        <w:rPr>
          <w:noProof/>
        </w:rPr>
        <w:t xml:space="preserve">                  </w:t>
      </w:r>
      <w:r>
        <w:rPr>
          <w:noProof/>
        </w:rPr>
        <w:drawing>
          <wp:inline distT="0" distB="0" distL="0" distR="0" wp14:anchorId="5DD48BD6" wp14:editId="3E056F14">
            <wp:extent cx="1581150" cy="72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581150" cy="723900"/>
                    </a:xfrm>
                    <a:prstGeom prst="rect">
                      <a:avLst/>
                    </a:prstGeom>
                  </pic:spPr>
                </pic:pic>
              </a:graphicData>
            </a:graphic>
          </wp:inline>
        </w:drawing>
      </w:r>
      <w:r>
        <w:rPr>
          <w:noProof/>
        </w:rPr>
        <w:t xml:space="preserve">             </w:t>
      </w:r>
      <w:r>
        <w:rPr>
          <w:noProof/>
        </w:rPr>
        <w:drawing>
          <wp:inline distT="0" distB="0" distL="0" distR="0" wp14:anchorId="7183200A" wp14:editId="4E710E4D">
            <wp:extent cx="1524000" cy="1009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524000" cy="1009650"/>
                    </a:xfrm>
                    <a:prstGeom prst="rect">
                      <a:avLst/>
                    </a:prstGeom>
                  </pic:spPr>
                </pic:pic>
              </a:graphicData>
            </a:graphic>
          </wp:inline>
        </w:drawing>
      </w:r>
      <w:r>
        <w:rPr>
          <w:noProof/>
        </w:rPr>
        <w:t xml:space="preserve">   </w:t>
      </w:r>
    </w:p>
    <w:p w:rsidR="00DD5BCA" w:rsidRDefault="00DD5BCA" w:rsidP="00DD5BCA">
      <w:pPr>
        <w:autoSpaceDE w:val="0"/>
        <w:autoSpaceDN w:val="0"/>
        <w:jc w:val="center"/>
        <w:rPr>
          <w:noProof/>
        </w:rPr>
      </w:pPr>
    </w:p>
    <w:p w:rsidR="00DD5BCA" w:rsidRDefault="008D0C99" w:rsidP="00DD5BCA">
      <w:pPr>
        <w:autoSpaceDE w:val="0"/>
        <w:autoSpaceDN w:val="0"/>
        <w:rPr>
          <w:rFonts w:ascii="Gill Sans MT" w:hAnsi="Gill Sans MT" w:cs="Arial"/>
          <w:i/>
          <w:iCs/>
        </w:rPr>
      </w:pPr>
      <w:r>
        <w:rPr>
          <w:noProof/>
        </w:rPr>
        <w:drawing>
          <wp:anchor distT="0" distB="0" distL="114300" distR="114300" simplePos="0" relativeHeight="251659264" behindDoc="0" locked="0" layoutInCell="1" allowOverlap="1" wp14:anchorId="1C78D2E1" wp14:editId="623EC4B9">
            <wp:simplePos x="0" y="0"/>
            <wp:positionH relativeFrom="column">
              <wp:posOffset>3804920</wp:posOffset>
            </wp:positionH>
            <wp:positionV relativeFrom="paragraph">
              <wp:posOffset>144780</wp:posOffset>
            </wp:positionV>
            <wp:extent cx="2114550" cy="460375"/>
            <wp:effectExtent l="0" t="0" r="0" b="0"/>
            <wp:wrapNone/>
            <wp:docPr id="7" name="Picture 7" descr="C:\Documents and Settings\ellen\My Documents\My Pictures\northeastern for tr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llen\My Documents\My Pictures\northeastern for trin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455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DD5BCA">
        <w:rPr>
          <w:noProof/>
        </w:rPr>
        <w:t xml:space="preserve">        </w:t>
      </w:r>
      <w:r w:rsidR="004B38B0">
        <w:rPr>
          <w:noProof/>
        </w:rPr>
        <w:drawing>
          <wp:inline distT="0" distB="0" distL="0" distR="0" wp14:anchorId="12A9C6A8" wp14:editId="1636D3FB">
            <wp:extent cx="1476375" cy="7810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1476375" cy="781050"/>
                    </a:xfrm>
                    <a:prstGeom prst="rect">
                      <a:avLst/>
                    </a:prstGeom>
                  </pic:spPr>
                </pic:pic>
              </a:graphicData>
            </a:graphic>
          </wp:inline>
        </w:drawing>
      </w:r>
      <w:r w:rsidR="00DD5BCA">
        <w:rPr>
          <w:noProof/>
        </w:rPr>
        <w:t xml:space="preserve">                </w:t>
      </w:r>
      <w:r w:rsidR="00DD5BCA">
        <w:rPr>
          <w:noProof/>
        </w:rPr>
        <w:drawing>
          <wp:inline distT="0" distB="0" distL="0" distR="0" wp14:anchorId="62134588" wp14:editId="185F62A7">
            <wp:extent cx="962025" cy="8191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62025" cy="819150"/>
                    </a:xfrm>
                    <a:prstGeom prst="rect">
                      <a:avLst/>
                    </a:prstGeom>
                    <a:noFill/>
                    <a:ln>
                      <a:noFill/>
                    </a:ln>
                  </pic:spPr>
                </pic:pic>
              </a:graphicData>
            </a:graphic>
          </wp:inline>
        </w:drawing>
      </w:r>
      <w:r w:rsidR="00DD5BCA">
        <w:rPr>
          <w:noProof/>
        </w:rPr>
        <w:t xml:space="preserve">     </w:t>
      </w:r>
      <w:r w:rsidR="00DD5BCA">
        <w:rPr>
          <w:rFonts w:ascii="Gill Sans MT" w:hAnsi="Gill Sans MT" w:cs="Arial"/>
          <w:i/>
          <w:iCs/>
        </w:rPr>
        <w:t xml:space="preserve">  </w:t>
      </w:r>
    </w:p>
    <w:p w:rsidR="00DD5BCA" w:rsidRDefault="00DD5BCA" w:rsidP="00DD5BCA">
      <w:pPr>
        <w:autoSpaceDE w:val="0"/>
        <w:autoSpaceDN w:val="0"/>
        <w:rPr>
          <w:rFonts w:ascii="Gill Sans MT" w:hAnsi="Gill Sans MT" w:cs="Arial"/>
          <w:i/>
          <w:iCs/>
        </w:rPr>
      </w:pPr>
    </w:p>
    <w:p w:rsidR="003D17C7" w:rsidRDefault="003D17C7" w:rsidP="00DD5BCA">
      <w:pPr>
        <w:autoSpaceDE w:val="0"/>
        <w:autoSpaceDN w:val="0"/>
        <w:rPr>
          <w:rFonts w:ascii="Gill Sans MT" w:hAnsi="Gill Sans MT" w:cs="Arial"/>
          <w:i/>
          <w:iCs/>
        </w:rPr>
      </w:pPr>
    </w:p>
    <w:p w:rsidR="00DD5BCA" w:rsidRPr="00967A8A" w:rsidRDefault="00DD5BCA" w:rsidP="00DD5BCA">
      <w:pPr>
        <w:spacing w:line="100" w:lineRule="atLeast"/>
        <w:jc w:val="center"/>
        <w:rPr>
          <w:b/>
        </w:rPr>
      </w:pPr>
      <w:r w:rsidRPr="00967A8A">
        <w:rPr>
          <w:b/>
        </w:rPr>
        <w:t>Sample 28(j) Letter Response in Pending Stay Litigation</w:t>
      </w:r>
      <w:r w:rsidR="004B38B0">
        <w:rPr>
          <w:b/>
        </w:rPr>
        <w:t xml:space="preserve"> &amp; </w:t>
      </w:r>
    </w:p>
    <w:p w:rsidR="00DD5BCA" w:rsidRDefault="00DD5BCA" w:rsidP="00DD5BCA">
      <w:pPr>
        <w:spacing w:line="100" w:lineRule="atLeast"/>
        <w:jc w:val="center"/>
        <w:rPr>
          <w:b/>
        </w:rPr>
      </w:pPr>
      <w:r w:rsidRPr="00967A8A">
        <w:rPr>
          <w:b/>
        </w:rPr>
        <w:t>Call for Cases of Removed Individuals Entitled to Return</w:t>
      </w:r>
    </w:p>
    <w:p w:rsidR="00F5427B" w:rsidRPr="00967A8A" w:rsidRDefault="00F5427B" w:rsidP="00DD5BCA">
      <w:pPr>
        <w:spacing w:line="100" w:lineRule="atLeast"/>
        <w:jc w:val="center"/>
        <w:rPr>
          <w:b/>
        </w:rPr>
      </w:pPr>
    </w:p>
    <w:p w:rsidR="00DD5BCA" w:rsidRPr="004B38B0" w:rsidRDefault="00DD5BCA" w:rsidP="00DD5BCA">
      <w:pPr>
        <w:spacing w:line="100" w:lineRule="atLeast"/>
        <w:jc w:val="center"/>
        <w:rPr>
          <w:i/>
        </w:rPr>
      </w:pPr>
      <w:r w:rsidRPr="004B38B0">
        <w:rPr>
          <w:i/>
        </w:rPr>
        <w:t>National Immigration Project et al. v. DHS</w:t>
      </w:r>
    </w:p>
    <w:p w:rsidR="00DD5BCA" w:rsidRDefault="00DD5BCA" w:rsidP="00DD5BCA">
      <w:pPr>
        <w:spacing w:line="100" w:lineRule="atLeast"/>
        <w:jc w:val="center"/>
      </w:pPr>
      <w:r>
        <w:t>April 27, 2012</w:t>
      </w:r>
    </w:p>
    <w:p w:rsidR="00DD5BCA" w:rsidRDefault="00DD5BCA" w:rsidP="00DD5BCA">
      <w:pPr>
        <w:spacing w:line="100" w:lineRule="atLeast"/>
        <w:jc w:val="center"/>
      </w:pPr>
    </w:p>
    <w:p w:rsidR="00DD5BCA" w:rsidRPr="003D17C7" w:rsidRDefault="00DD5BCA" w:rsidP="00DD5BCA">
      <w:pPr>
        <w:spacing w:line="100" w:lineRule="atLeast"/>
      </w:pPr>
      <w:r w:rsidRPr="003D17C7">
        <w:t xml:space="preserve">On April 23, 2012, the </w:t>
      </w:r>
      <w:r w:rsidR="004B38B0" w:rsidRPr="003D17C7">
        <w:t xml:space="preserve">Department of Homeland Security issued guidance </w:t>
      </w:r>
      <w:r w:rsidRPr="003D17C7">
        <w:t>regarding implementation of a February 2012 “policy” for returning individuals who win their cases in federal court.</w:t>
      </w:r>
      <w:r w:rsidR="00967A8A" w:rsidRPr="003D17C7">
        <w:rPr>
          <w:rStyle w:val="FootnoteReference"/>
        </w:rPr>
        <w:footnoteReference w:id="1"/>
      </w:r>
      <w:r w:rsidRPr="003D17C7">
        <w:t xml:space="preserve">  The next day, the Office of the Solicitor General (OSG) released emails that formed the basis of its erroneous claim to the U.S. Supreme Court that such a policy previously existed.</w:t>
      </w:r>
      <w:r w:rsidR="00967A8A" w:rsidRPr="003D17C7">
        <w:rPr>
          <w:rStyle w:val="FootnoteReference"/>
        </w:rPr>
        <w:footnoteReference w:id="2"/>
      </w:r>
      <w:r w:rsidRPr="003D17C7">
        <w:t xml:space="preserve">  The OSG further notified the Court of its incorrect statement and steps it intends to take going forward to ensure the timely return of successful litigants.</w:t>
      </w:r>
      <w:r w:rsidR="00967A8A" w:rsidRPr="003D17C7">
        <w:rPr>
          <w:rStyle w:val="FootnoteReference"/>
        </w:rPr>
        <w:footnoteReference w:id="3"/>
      </w:r>
      <w:r w:rsidRPr="003D17C7">
        <w:t xml:space="preserve">  </w:t>
      </w:r>
      <w:r w:rsidR="00967A8A" w:rsidRPr="003D17C7">
        <w:t xml:space="preserve">The advisory of April 25, 2012 details these </w:t>
      </w:r>
      <w:r w:rsidRPr="003D17C7">
        <w:t>developments</w:t>
      </w:r>
      <w:r w:rsidR="00967A8A" w:rsidRPr="003D17C7">
        <w:t>.</w:t>
      </w:r>
      <w:r w:rsidR="00967A8A" w:rsidRPr="003D17C7">
        <w:rPr>
          <w:rStyle w:val="FootnoteReference"/>
        </w:rPr>
        <w:footnoteReference w:id="4"/>
      </w:r>
    </w:p>
    <w:p w:rsidR="00DD5BCA" w:rsidRPr="003D17C7" w:rsidRDefault="00DD5BCA" w:rsidP="00DD5BCA">
      <w:pPr>
        <w:spacing w:line="100" w:lineRule="atLeast"/>
      </w:pPr>
    </w:p>
    <w:p w:rsidR="00CB268C" w:rsidRPr="003D17C7" w:rsidRDefault="004B38B0" w:rsidP="00293CEC">
      <w:pPr>
        <w:spacing w:line="100" w:lineRule="atLeast"/>
      </w:pPr>
      <w:r w:rsidRPr="003D17C7">
        <w:t>T</w:t>
      </w:r>
      <w:r w:rsidR="00967A8A" w:rsidRPr="003D17C7">
        <w:t xml:space="preserve">he Office of Immigration Litigation </w:t>
      </w:r>
      <w:r w:rsidR="008D0C99" w:rsidRPr="003D17C7">
        <w:t xml:space="preserve">(OIL) </w:t>
      </w:r>
      <w:r w:rsidR="00967A8A" w:rsidRPr="003D17C7">
        <w:t xml:space="preserve">is filing letters pursuant to Federal Rule of Appellate Procedure 28(j) in cases involving stay </w:t>
      </w:r>
      <w:r w:rsidR="008D0C99" w:rsidRPr="003D17C7">
        <w:t>requests</w:t>
      </w:r>
      <w:r w:rsidR="00967A8A" w:rsidRPr="003D17C7">
        <w:t xml:space="preserve">. </w:t>
      </w:r>
      <w:r w:rsidR="008D0C99" w:rsidRPr="003D17C7">
        <w:t xml:space="preserve">The </w:t>
      </w:r>
      <w:r w:rsidR="00293CEC" w:rsidRPr="003D17C7">
        <w:t xml:space="preserve">letters suggest that the new return policy eliminates prior obstacles to return.  The plaintiff organizations and counsel in </w:t>
      </w:r>
      <w:r w:rsidR="00293CEC" w:rsidRPr="003D17C7">
        <w:rPr>
          <w:i/>
        </w:rPr>
        <w:t>National Immigration Project et al. v. DHS</w:t>
      </w:r>
      <w:r w:rsidR="00293CEC" w:rsidRPr="003D17C7">
        <w:t>, the law suit which prompted the OSG’s letter and the return policy, strongly disagree.</w:t>
      </w:r>
      <w:r w:rsidR="00293CEC" w:rsidRPr="003D17C7">
        <w:rPr>
          <w:rStyle w:val="FootnoteReference"/>
        </w:rPr>
        <w:footnoteReference w:id="5"/>
      </w:r>
      <w:r w:rsidR="00293CEC" w:rsidRPr="003D17C7">
        <w:t xml:space="preserve">  We encourage counsel to consider filing a</w:t>
      </w:r>
      <w:r w:rsidR="00CB268C" w:rsidRPr="003D17C7">
        <w:t xml:space="preserve"> response to OIL’s 28(j) letter.</w:t>
      </w:r>
      <w:r w:rsidR="00293CEC" w:rsidRPr="003D17C7">
        <w:rPr>
          <w:rStyle w:val="FootnoteReference"/>
        </w:rPr>
        <w:footnoteReference w:id="6"/>
      </w:r>
      <w:r w:rsidR="00CB268C" w:rsidRPr="003D17C7">
        <w:t xml:space="preserve">  A sample response follows this advisory.</w:t>
      </w:r>
      <w:r w:rsidR="001A1A2F" w:rsidRPr="003D17C7">
        <w:t xml:space="preserve">  </w:t>
      </w:r>
      <w:r w:rsidR="001960D6" w:rsidRPr="003D17C7">
        <w:t xml:space="preserve">Counsel also may wish to consider whether the </w:t>
      </w:r>
      <w:r w:rsidR="001960D6" w:rsidRPr="003D17C7">
        <w:lastRenderedPageBreak/>
        <w:t>“</w:t>
      </w:r>
      <w:proofErr w:type="gramStart"/>
      <w:r w:rsidR="001960D6" w:rsidRPr="003D17C7">
        <w:t>policy</w:t>
      </w:r>
      <w:proofErr w:type="gramEnd"/>
      <w:r w:rsidR="001960D6" w:rsidRPr="003D17C7">
        <w:t xml:space="preserve">” complies with the process for public notice and comment requirement under the Administrative Procedures Act. </w:t>
      </w:r>
      <w:r w:rsidR="001A1A2F" w:rsidRPr="003D17C7">
        <w:rPr>
          <w:i/>
        </w:rPr>
        <w:t>Please</w:t>
      </w:r>
      <w:r w:rsidR="001A1A2F" w:rsidRPr="003D17C7">
        <w:t xml:space="preserve"> contact Trina Realmuto </w:t>
      </w:r>
      <w:hyperlink r:id="rId14" w:history="1">
        <w:r w:rsidR="001A1A2F" w:rsidRPr="003D17C7">
          <w:rPr>
            <w:rStyle w:val="Hyperlink"/>
          </w:rPr>
          <w:t>trina@nationalimmigrationproject.org</w:t>
        </w:r>
      </w:hyperlink>
      <w:r w:rsidR="001A1A2F" w:rsidRPr="003D17C7">
        <w:t xml:space="preserve">) or Jessica </w:t>
      </w:r>
      <w:proofErr w:type="spellStart"/>
      <w:r w:rsidR="001A1A2F" w:rsidRPr="003D17C7">
        <w:t>Chicco</w:t>
      </w:r>
      <w:proofErr w:type="spellEnd"/>
      <w:r w:rsidR="001A1A2F" w:rsidRPr="003D17C7">
        <w:t xml:space="preserve"> (</w:t>
      </w:r>
      <w:hyperlink r:id="rId15" w:history="1">
        <w:r w:rsidR="001A1A2F" w:rsidRPr="003D17C7">
          <w:rPr>
            <w:rStyle w:val="Hyperlink"/>
          </w:rPr>
          <w:t>jessica.chicco@bc.edu</w:t>
        </w:r>
      </w:hyperlink>
      <w:r w:rsidR="001A1A2F" w:rsidRPr="003D17C7">
        <w:t xml:space="preserve">) if the Court orders supplemental briefing on the adequacy of the government’s return “policy.”  </w:t>
      </w:r>
    </w:p>
    <w:p w:rsidR="004B38B0" w:rsidRPr="003D17C7" w:rsidRDefault="004B38B0" w:rsidP="00293CEC">
      <w:pPr>
        <w:spacing w:line="100" w:lineRule="atLeast"/>
      </w:pPr>
    </w:p>
    <w:p w:rsidR="004B38B0" w:rsidRPr="003D17C7" w:rsidRDefault="00CB268C" w:rsidP="004B38B0">
      <w:pPr>
        <w:spacing w:line="100" w:lineRule="atLeast"/>
      </w:pPr>
      <w:r w:rsidRPr="003D17C7">
        <w:t>In addition, on April 26, 2012, the Attorney General’s Office issued a notice to certain organizations and individuals.</w:t>
      </w:r>
      <w:r w:rsidR="004B38B0" w:rsidRPr="003D17C7">
        <w:rPr>
          <w:rStyle w:val="FootnoteReference"/>
        </w:rPr>
        <w:footnoteReference w:id="7"/>
      </w:r>
      <w:r w:rsidRPr="003D17C7">
        <w:t xml:space="preserve"> </w:t>
      </w:r>
      <w:r w:rsidR="004B38B0" w:rsidRPr="003D17C7">
        <w:t xml:space="preserve"> </w:t>
      </w:r>
      <w:r w:rsidRPr="003D17C7">
        <w:t xml:space="preserve">The letter </w:t>
      </w:r>
      <w:r w:rsidR="004B38B0" w:rsidRPr="003D17C7">
        <w:t>calls on advocates</w:t>
      </w:r>
      <w:r w:rsidR="004B38B0" w:rsidRPr="003D17C7">
        <w:rPr>
          <w:rStyle w:val="FootnoteReference"/>
        </w:rPr>
        <w:footnoteReference w:id="8"/>
      </w:r>
      <w:r w:rsidR="004B38B0" w:rsidRPr="003D17C7">
        <w:t xml:space="preserve"> to contact the ICE Public Advocate if “you are aware of anyone who has been removed from this country and later prevailed in the court of appeals and should be entitled to return, but whose return has been impeded.”  We ask all immigrant advocates to </w:t>
      </w:r>
      <w:r w:rsidR="001A1A2F" w:rsidRPr="003D17C7">
        <w:t xml:space="preserve">take such action.  </w:t>
      </w:r>
    </w:p>
    <w:p w:rsidR="00515485" w:rsidRDefault="00515485" w:rsidP="00515485">
      <w:pPr>
        <w:jc w:val="center"/>
        <w:rPr>
          <w:b/>
        </w:rPr>
      </w:pPr>
    </w:p>
    <w:p w:rsidR="00515485" w:rsidRDefault="00515485" w:rsidP="00515485">
      <w:pPr>
        <w:jc w:val="center"/>
        <w:rPr>
          <w:b/>
        </w:rPr>
      </w:pPr>
    </w:p>
    <w:p w:rsidR="00515485" w:rsidRDefault="00515485" w:rsidP="00515485">
      <w:pPr>
        <w:jc w:val="center"/>
        <w:rPr>
          <w:b/>
        </w:rPr>
      </w:pPr>
      <w:r>
        <w:rPr>
          <w:b/>
        </w:rPr>
        <w:t>SAMPLE RESPONSE TO FRAP 28(j) LETTER ON NEXT PAGE</w:t>
      </w:r>
    </w:p>
    <w:p w:rsidR="00515485" w:rsidRDefault="00515485" w:rsidP="004B38B0">
      <w:pPr>
        <w:spacing w:line="100" w:lineRule="atLeast"/>
      </w:pPr>
    </w:p>
    <w:p w:rsidR="00967A8A" w:rsidRDefault="00967A8A" w:rsidP="00293CEC">
      <w:pPr>
        <w:spacing w:line="100" w:lineRule="atLeast"/>
      </w:pPr>
    </w:p>
    <w:p w:rsidR="005F66F3" w:rsidRDefault="00515485" w:rsidP="00515485">
      <w:pPr>
        <w:spacing w:after="200" w:line="276" w:lineRule="auto"/>
        <w:rPr>
          <w:b/>
        </w:rPr>
      </w:pPr>
      <w:r>
        <w:rPr>
          <w:b/>
        </w:rPr>
        <w:br w:type="page"/>
      </w:r>
    </w:p>
    <w:p w:rsidR="00DD5BCA" w:rsidRPr="003449EA" w:rsidRDefault="00DD5BCA" w:rsidP="00DD5BCA">
      <w:pPr>
        <w:jc w:val="center"/>
        <w:rPr>
          <w:b/>
          <w:sz w:val="28"/>
          <w:szCs w:val="28"/>
        </w:rPr>
      </w:pPr>
      <w:r w:rsidRPr="003449EA">
        <w:rPr>
          <w:b/>
          <w:sz w:val="28"/>
          <w:szCs w:val="28"/>
        </w:rPr>
        <w:lastRenderedPageBreak/>
        <w:t xml:space="preserve">SAMPLE </w:t>
      </w:r>
      <w:r w:rsidR="002B3841" w:rsidRPr="003449EA">
        <w:rPr>
          <w:b/>
          <w:sz w:val="28"/>
          <w:szCs w:val="28"/>
        </w:rPr>
        <w:t xml:space="preserve">RESPONSE TO FRAP 28(j) LETTER </w:t>
      </w:r>
    </w:p>
    <w:p w:rsidR="00DD5BCA" w:rsidRPr="003449EA" w:rsidRDefault="00DD5BCA" w:rsidP="00DD5BCA">
      <w:pPr>
        <w:jc w:val="center"/>
        <w:rPr>
          <w:i/>
          <w:sz w:val="28"/>
          <w:szCs w:val="28"/>
        </w:rPr>
      </w:pPr>
    </w:p>
    <w:p w:rsidR="00DD5BCA" w:rsidRPr="002B3841" w:rsidRDefault="00DD5BCA" w:rsidP="00DD5BCA">
      <w:pPr>
        <w:jc w:val="center"/>
        <w:rPr>
          <w:sz w:val="28"/>
          <w:szCs w:val="28"/>
        </w:rPr>
      </w:pPr>
      <w:r w:rsidRPr="002B3841">
        <w:rPr>
          <w:b/>
          <w:sz w:val="28"/>
          <w:szCs w:val="28"/>
        </w:rPr>
        <w:t xml:space="preserve">(Pursuant to the </w:t>
      </w:r>
      <w:r w:rsidR="002B3841">
        <w:rPr>
          <w:b/>
          <w:sz w:val="28"/>
          <w:szCs w:val="28"/>
        </w:rPr>
        <w:t>Rule</w:t>
      </w:r>
      <w:r w:rsidRPr="002B3841">
        <w:rPr>
          <w:b/>
          <w:sz w:val="28"/>
          <w:szCs w:val="28"/>
        </w:rPr>
        <w:t>, the body of the letter must not exceed 350 words</w:t>
      </w:r>
      <w:r w:rsidRPr="002B3841">
        <w:rPr>
          <w:sz w:val="28"/>
          <w:szCs w:val="28"/>
        </w:rPr>
        <w:t>)</w:t>
      </w:r>
    </w:p>
    <w:p w:rsidR="00DD5BCA" w:rsidRDefault="00DD5BCA" w:rsidP="00DD5BCA">
      <w:pPr>
        <w:jc w:val="center"/>
      </w:pPr>
    </w:p>
    <w:p w:rsidR="00DD5BCA" w:rsidRDefault="00CB6B78" w:rsidP="00CB6B78">
      <w:pPr>
        <w:rPr>
          <w:sz w:val="28"/>
          <w:szCs w:val="28"/>
        </w:rPr>
      </w:pPr>
      <w:r>
        <w:rPr>
          <w:sz w:val="28"/>
          <w:szCs w:val="28"/>
        </w:rPr>
        <w:t>________ ___, 2012</w:t>
      </w:r>
    </w:p>
    <w:p w:rsidR="00005EB4" w:rsidRDefault="00005EB4" w:rsidP="00005EB4">
      <w:pPr>
        <w:rPr>
          <w:sz w:val="28"/>
          <w:szCs w:val="28"/>
        </w:rPr>
      </w:pPr>
    </w:p>
    <w:p w:rsidR="00DD5BCA" w:rsidRDefault="00DD5BCA" w:rsidP="00DD5BCA">
      <w:pPr>
        <w:rPr>
          <w:sz w:val="28"/>
          <w:szCs w:val="28"/>
        </w:rPr>
      </w:pPr>
      <w:r>
        <w:rPr>
          <w:sz w:val="28"/>
          <w:szCs w:val="28"/>
        </w:rPr>
        <w:t xml:space="preserve">Clerk of the Court                               </w:t>
      </w:r>
    </w:p>
    <w:p w:rsidR="00DD5BCA" w:rsidRDefault="00DD5BCA" w:rsidP="00DD5BCA">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 w:val="28"/>
          <w:szCs w:val="28"/>
        </w:rPr>
      </w:pPr>
      <w:r>
        <w:rPr>
          <w:sz w:val="28"/>
          <w:szCs w:val="28"/>
        </w:rPr>
        <w:t>U.S. Court of Appeals for the ________Circuit</w:t>
      </w:r>
    </w:p>
    <w:p w:rsidR="00DD5BCA" w:rsidRDefault="00DD5BCA" w:rsidP="00DD5BCA">
      <w:pPr>
        <w:rPr>
          <w:sz w:val="28"/>
          <w:szCs w:val="28"/>
        </w:rPr>
      </w:pPr>
      <w:r>
        <w:rPr>
          <w:sz w:val="28"/>
          <w:szCs w:val="28"/>
        </w:rPr>
        <w:t xml:space="preserve">ADDRESS </w:t>
      </w:r>
    </w:p>
    <w:p w:rsidR="00DD5BCA" w:rsidRDefault="00DD5BCA" w:rsidP="00DD5BCA">
      <w:pPr>
        <w:rPr>
          <w:sz w:val="28"/>
          <w:szCs w:val="28"/>
        </w:rPr>
      </w:pPr>
    </w:p>
    <w:p w:rsidR="00DD5BCA" w:rsidRDefault="00DD5BCA" w:rsidP="00DD5BCA">
      <w:pPr>
        <w:ind w:firstLine="720"/>
        <w:rPr>
          <w:sz w:val="28"/>
          <w:szCs w:val="28"/>
        </w:rPr>
      </w:pPr>
      <w:r>
        <w:rPr>
          <w:sz w:val="28"/>
          <w:szCs w:val="28"/>
        </w:rPr>
        <w:t>Re:</w:t>
      </w:r>
      <w:r>
        <w:rPr>
          <w:sz w:val="28"/>
          <w:szCs w:val="28"/>
        </w:rPr>
        <w:tab/>
        <w:t>_______________ v. _____________</w:t>
      </w:r>
    </w:p>
    <w:p w:rsidR="00DD5BCA" w:rsidRDefault="00DD5BCA" w:rsidP="00DD5BCA">
      <w:pPr>
        <w:ind w:firstLine="720"/>
        <w:rPr>
          <w:sz w:val="28"/>
          <w:szCs w:val="28"/>
        </w:rPr>
      </w:pPr>
      <w:r>
        <w:rPr>
          <w:sz w:val="28"/>
          <w:szCs w:val="28"/>
        </w:rPr>
        <w:tab/>
        <w:t>Case No. _______________________</w:t>
      </w:r>
    </w:p>
    <w:p w:rsidR="00DD5BCA" w:rsidRDefault="00DD5BCA" w:rsidP="00DD5BCA">
      <w:pPr>
        <w:rPr>
          <w:sz w:val="28"/>
          <w:szCs w:val="28"/>
        </w:rPr>
      </w:pPr>
    </w:p>
    <w:p w:rsidR="00DD5BCA" w:rsidRDefault="00DD5BCA" w:rsidP="00DD5BCA">
      <w:pPr>
        <w:rPr>
          <w:sz w:val="28"/>
          <w:szCs w:val="28"/>
        </w:rPr>
      </w:pPr>
      <w:r>
        <w:rPr>
          <w:sz w:val="28"/>
          <w:szCs w:val="28"/>
        </w:rPr>
        <w:t>Dear Clerk of the Court:</w:t>
      </w:r>
    </w:p>
    <w:p w:rsidR="00DD5BCA" w:rsidRDefault="00DD5BCA" w:rsidP="00DD5BCA">
      <w:pPr>
        <w:rPr>
          <w:sz w:val="28"/>
          <w:szCs w:val="28"/>
        </w:rPr>
      </w:pPr>
    </w:p>
    <w:p w:rsidR="00DD5BCA" w:rsidRDefault="00DD5BCA" w:rsidP="00DD5BCA">
      <w:pPr>
        <w:rPr>
          <w:sz w:val="28"/>
          <w:szCs w:val="28"/>
        </w:rPr>
      </w:pPr>
      <w:r>
        <w:rPr>
          <w:sz w:val="28"/>
          <w:szCs w:val="28"/>
        </w:rPr>
        <w:t>Petitioner</w:t>
      </w:r>
      <w:r w:rsidR="008D0C99">
        <w:rPr>
          <w:sz w:val="28"/>
          <w:szCs w:val="28"/>
        </w:rPr>
        <w:t xml:space="preserve"> </w:t>
      </w:r>
      <w:r w:rsidR="002803AE">
        <w:rPr>
          <w:sz w:val="28"/>
          <w:szCs w:val="28"/>
        </w:rPr>
        <w:t xml:space="preserve">submits </w:t>
      </w:r>
      <w:r w:rsidR="008D0C99">
        <w:rPr>
          <w:sz w:val="28"/>
          <w:szCs w:val="28"/>
        </w:rPr>
        <w:t xml:space="preserve">this </w:t>
      </w:r>
      <w:r w:rsidR="002803AE">
        <w:rPr>
          <w:sz w:val="28"/>
          <w:szCs w:val="28"/>
        </w:rPr>
        <w:t>letter pursuant to F</w:t>
      </w:r>
      <w:r w:rsidR="005E56EE">
        <w:rPr>
          <w:sz w:val="28"/>
          <w:szCs w:val="28"/>
        </w:rPr>
        <w:t xml:space="preserve">ederal </w:t>
      </w:r>
      <w:r w:rsidR="002803AE">
        <w:rPr>
          <w:sz w:val="28"/>
          <w:szCs w:val="28"/>
        </w:rPr>
        <w:t>R</w:t>
      </w:r>
      <w:r w:rsidR="005E56EE">
        <w:rPr>
          <w:sz w:val="28"/>
          <w:szCs w:val="28"/>
        </w:rPr>
        <w:t xml:space="preserve">ule of </w:t>
      </w:r>
      <w:r w:rsidR="002803AE">
        <w:rPr>
          <w:sz w:val="28"/>
          <w:szCs w:val="28"/>
        </w:rPr>
        <w:t>A</w:t>
      </w:r>
      <w:r w:rsidR="005E56EE">
        <w:rPr>
          <w:sz w:val="28"/>
          <w:szCs w:val="28"/>
        </w:rPr>
        <w:t xml:space="preserve">ppellate </w:t>
      </w:r>
      <w:r w:rsidR="002803AE">
        <w:rPr>
          <w:sz w:val="28"/>
          <w:szCs w:val="28"/>
        </w:rPr>
        <w:t>P</w:t>
      </w:r>
      <w:r w:rsidR="005E56EE">
        <w:rPr>
          <w:sz w:val="28"/>
          <w:szCs w:val="28"/>
        </w:rPr>
        <w:t>rocedure</w:t>
      </w:r>
      <w:r w:rsidR="002803AE">
        <w:rPr>
          <w:sz w:val="28"/>
          <w:szCs w:val="28"/>
        </w:rPr>
        <w:t xml:space="preserve"> 28(j) in response </w:t>
      </w:r>
      <w:r w:rsidR="008D0C99">
        <w:rPr>
          <w:sz w:val="28"/>
          <w:szCs w:val="28"/>
        </w:rPr>
        <w:t>to Respondent’</w:t>
      </w:r>
      <w:r w:rsidR="002803AE">
        <w:rPr>
          <w:sz w:val="28"/>
          <w:szCs w:val="28"/>
        </w:rPr>
        <w:t xml:space="preserve">s letter of [Month Date, Year], informing this Court that the Office of the Solicitor General (OSG) notified the U.S. Supreme Court </w:t>
      </w:r>
      <w:r w:rsidR="006E2BCC">
        <w:rPr>
          <w:sz w:val="28"/>
          <w:szCs w:val="28"/>
        </w:rPr>
        <w:t xml:space="preserve">by letter </w:t>
      </w:r>
      <w:r w:rsidR="002803AE">
        <w:rPr>
          <w:sz w:val="28"/>
          <w:szCs w:val="28"/>
        </w:rPr>
        <w:t xml:space="preserve">of a misrepresentation in </w:t>
      </w:r>
      <w:proofErr w:type="spellStart"/>
      <w:r w:rsidR="002803AE">
        <w:rPr>
          <w:i/>
          <w:sz w:val="28"/>
          <w:szCs w:val="28"/>
        </w:rPr>
        <w:t>Nken</w:t>
      </w:r>
      <w:proofErr w:type="spellEnd"/>
      <w:r w:rsidR="002803AE">
        <w:rPr>
          <w:i/>
          <w:sz w:val="28"/>
          <w:szCs w:val="28"/>
        </w:rPr>
        <w:t xml:space="preserve"> v. Holder</w:t>
      </w:r>
      <w:r w:rsidR="002803AE">
        <w:rPr>
          <w:sz w:val="28"/>
          <w:szCs w:val="28"/>
        </w:rPr>
        <w:t xml:space="preserve">, 129 </w:t>
      </w:r>
      <w:proofErr w:type="spellStart"/>
      <w:r w:rsidR="002803AE">
        <w:rPr>
          <w:sz w:val="28"/>
          <w:szCs w:val="28"/>
        </w:rPr>
        <w:t>S.Ct</w:t>
      </w:r>
      <w:proofErr w:type="spellEnd"/>
      <w:r w:rsidR="002803AE">
        <w:rPr>
          <w:sz w:val="28"/>
          <w:szCs w:val="28"/>
        </w:rPr>
        <w:t>. 1749 (2009)</w:t>
      </w:r>
      <w:r>
        <w:rPr>
          <w:sz w:val="28"/>
          <w:szCs w:val="28"/>
        </w:rPr>
        <w:t>.</w:t>
      </w:r>
      <w:r w:rsidR="002803AE">
        <w:rPr>
          <w:sz w:val="28"/>
          <w:szCs w:val="28"/>
        </w:rPr>
        <w:t xml:space="preserve">  </w:t>
      </w:r>
      <w:r w:rsidR="00BA5C8C">
        <w:rPr>
          <w:sz w:val="28"/>
          <w:szCs w:val="28"/>
        </w:rPr>
        <w:t xml:space="preserve">In </w:t>
      </w:r>
      <w:proofErr w:type="spellStart"/>
      <w:r w:rsidR="00BA5C8C" w:rsidRPr="00BA5C8C">
        <w:rPr>
          <w:i/>
          <w:sz w:val="28"/>
          <w:szCs w:val="28"/>
        </w:rPr>
        <w:t>Nken</w:t>
      </w:r>
      <w:proofErr w:type="spellEnd"/>
      <w:r w:rsidR="00BA5C8C">
        <w:rPr>
          <w:sz w:val="28"/>
          <w:szCs w:val="28"/>
        </w:rPr>
        <w:t xml:space="preserve">, the Supreme Court relied on the OSG’s statement that the government has a “policy and practice” of facilitating the return of noncitizens abroad who win their cases.  </w:t>
      </w:r>
      <w:proofErr w:type="gramStart"/>
      <w:r w:rsidR="005E56EE" w:rsidRPr="005E56EE">
        <w:rPr>
          <w:i/>
          <w:sz w:val="28"/>
          <w:szCs w:val="28"/>
        </w:rPr>
        <w:t>Id</w:t>
      </w:r>
      <w:r w:rsidR="005E56EE">
        <w:rPr>
          <w:sz w:val="28"/>
          <w:szCs w:val="28"/>
        </w:rPr>
        <w:t>. at 1761.</w:t>
      </w:r>
      <w:proofErr w:type="gramEnd"/>
      <w:r w:rsidR="005E56EE">
        <w:rPr>
          <w:sz w:val="28"/>
          <w:szCs w:val="28"/>
        </w:rPr>
        <w:t xml:space="preserve"> </w:t>
      </w:r>
      <w:r w:rsidR="00BA5C8C">
        <w:rPr>
          <w:sz w:val="28"/>
          <w:szCs w:val="28"/>
        </w:rPr>
        <w:t>The OSG now concedes that it is “not confident that t</w:t>
      </w:r>
      <w:r w:rsidR="00BA5C8C" w:rsidRPr="006E2BCC">
        <w:rPr>
          <w:sz w:val="28"/>
          <w:szCs w:val="28"/>
        </w:rPr>
        <w:t>he process for returning removed aliens, either</w:t>
      </w:r>
      <w:r w:rsidR="006E2BCC" w:rsidRPr="006E2BCC">
        <w:rPr>
          <w:sz w:val="28"/>
          <w:szCs w:val="28"/>
        </w:rPr>
        <w:t xml:space="preserve"> at the time brief was filed or during the intervening three years, was as consistently effective as the statement in its brief in </w:t>
      </w:r>
      <w:proofErr w:type="spellStart"/>
      <w:r w:rsidR="006E2BCC" w:rsidRPr="006E2BCC">
        <w:rPr>
          <w:i/>
          <w:iCs/>
          <w:sz w:val="28"/>
          <w:szCs w:val="28"/>
        </w:rPr>
        <w:t>Nken</w:t>
      </w:r>
      <w:proofErr w:type="spellEnd"/>
      <w:r w:rsidR="006E2BCC" w:rsidRPr="006E2BCC">
        <w:rPr>
          <w:sz w:val="28"/>
          <w:szCs w:val="28"/>
        </w:rPr>
        <w:t xml:space="preserve"> implied.</w:t>
      </w:r>
      <w:r w:rsidR="006E2BCC">
        <w:rPr>
          <w:sz w:val="28"/>
          <w:szCs w:val="28"/>
        </w:rPr>
        <w:t xml:space="preserve">”  </w:t>
      </w:r>
      <w:proofErr w:type="gramStart"/>
      <w:r w:rsidR="006E2BCC">
        <w:rPr>
          <w:sz w:val="28"/>
          <w:szCs w:val="28"/>
        </w:rPr>
        <w:t>OSG Letter, at 4.</w:t>
      </w:r>
      <w:proofErr w:type="gramEnd"/>
      <w:r w:rsidR="006E2BCC">
        <w:rPr>
          <w:sz w:val="28"/>
          <w:szCs w:val="28"/>
        </w:rPr>
        <w:t xml:space="preserve">  </w:t>
      </w:r>
      <w:r w:rsidR="006E2BCC" w:rsidRPr="006E2BCC">
        <w:rPr>
          <w:i/>
          <w:sz w:val="28"/>
          <w:szCs w:val="28"/>
        </w:rPr>
        <w:t>See also</w:t>
      </w:r>
      <w:r w:rsidR="006E2BCC">
        <w:rPr>
          <w:sz w:val="28"/>
          <w:szCs w:val="28"/>
        </w:rPr>
        <w:t xml:space="preserve">, Declaration of Jessica </w:t>
      </w:r>
      <w:proofErr w:type="spellStart"/>
      <w:r w:rsidR="006E2BCC">
        <w:rPr>
          <w:sz w:val="28"/>
          <w:szCs w:val="28"/>
        </w:rPr>
        <w:t>Chicco</w:t>
      </w:r>
      <w:proofErr w:type="spellEnd"/>
      <w:r w:rsidR="006E2BCC">
        <w:rPr>
          <w:sz w:val="28"/>
          <w:szCs w:val="28"/>
        </w:rPr>
        <w:t xml:space="preserve">, </w:t>
      </w:r>
      <w:r w:rsidR="006E2BCC" w:rsidRPr="005E56EE">
        <w:rPr>
          <w:i/>
          <w:sz w:val="28"/>
          <w:szCs w:val="28"/>
        </w:rPr>
        <w:t>Lam v. Holder</w:t>
      </w:r>
      <w:r w:rsidR="006E2BCC">
        <w:rPr>
          <w:sz w:val="28"/>
          <w:szCs w:val="28"/>
        </w:rPr>
        <w:t>, No. 11-2576 (7th Cir. Mar. 5, 2012) (</w:t>
      </w:r>
      <w:r w:rsidR="00BA1CB1">
        <w:rPr>
          <w:sz w:val="28"/>
          <w:szCs w:val="28"/>
        </w:rPr>
        <w:t>attached</w:t>
      </w:r>
      <w:r w:rsidR="006E2BCC">
        <w:rPr>
          <w:sz w:val="28"/>
          <w:szCs w:val="28"/>
        </w:rPr>
        <w:t xml:space="preserve">).  </w:t>
      </w:r>
    </w:p>
    <w:p w:rsidR="00BA5C8C" w:rsidRDefault="00BA5C8C" w:rsidP="00DD5BCA">
      <w:pPr>
        <w:rPr>
          <w:sz w:val="28"/>
          <w:szCs w:val="28"/>
        </w:rPr>
      </w:pPr>
    </w:p>
    <w:p w:rsidR="006E2BCC" w:rsidRDefault="00876B26" w:rsidP="00DD5BCA">
      <w:pPr>
        <w:rPr>
          <w:sz w:val="28"/>
          <w:szCs w:val="28"/>
        </w:rPr>
      </w:pPr>
      <w:r>
        <w:rPr>
          <w:sz w:val="28"/>
          <w:szCs w:val="28"/>
        </w:rPr>
        <w:t xml:space="preserve">Respondent now </w:t>
      </w:r>
      <w:r w:rsidR="00ED7914">
        <w:rPr>
          <w:sz w:val="28"/>
          <w:szCs w:val="28"/>
        </w:rPr>
        <w:t xml:space="preserve">asks this Court to accept </w:t>
      </w:r>
      <w:r>
        <w:rPr>
          <w:sz w:val="28"/>
          <w:szCs w:val="28"/>
        </w:rPr>
        <w:t xml:space="preserve">that its </w:t>
      </w:r>
      <w:r w:rsidR="005E56EE">
        <w:rPr>
          <w:sz w:val="28"/>
          <w:szCs w:val="28"/>
        </w:rPr>
        <w:t xml:space="preserve">new “policy”, issued </w:t>
      </w:r>
      <w:r>
        <w:rPr>
          <w:sz w:val="28"/>
          <w:szCs w:val="28"/>
        </w:rPr>
        <w:t xml:space="preserve">February </w:t>
      </w:r>
      <w:r w:rsidR="005E56EE">
        <w:rPr>
          <w:sz w:val="28"/>
          <w:szCs w:val="28"/>
        </w:rPr>
        <w:t xml:space="preserve">24, </w:t>
      </w:r>
      <w:r>
        <w:rPr>
          <w:sz w:val="28"/>
          <w:szCs w:val="28"/>
        </w:rPr>
        <w:t>2012</w:t>
      </w:r>
      <w:r w:rsidR="005E56EE">
        <w:rPr>
          <w:sz w:val="28"/>
          <w:szCs w:val="28"/>
        </w:rPr>
        <w:t>,</w:t>
      </w:r>
      <w:r>
        <w:rPr>
          <w:sz w:val="28"/>
          <w:szCs w:val="28"/>
        </w:rPr>
        <w:t xml:space="preserve"> </w:t>
      </w:r>
      <w:r w:rsidR="00ED7914">
        <w:rPr>
          <w:sz w:val="28"/>
          <w:szCs w:val="28"/>
        </w:rPr>
        <w:t xml:space="preserve">and procedures will ensure that noncitizens who prevail before this Court will not “encounter unnecessary obstacles.”  </w:t>
      </w:r>
      <w:proofErr w:type="gramStart"/>
      <w:r w:rsidR="00ED7914">
        <w:rPr>
          <w:sz w:val="28"/>
          <w:szCs w:val="28"/>
        </w:rPr>
        <w:t>4/__/2012 Letter at __.</w:t>
      </w:r>
      <w:proofErr w:type="gramEnd"/>
      <w:r w:rsidR="00ED7914">
        <w:rPr>
          <w:sz w:val="28"/>
          <w:szCs w:val="28"/>
        </w:rPr>
        <w:t xml:space="preserve">  </w:t>
      </w:r>
      <w:r w:rsidR="006B1C6A">
        <w:rPr>
          <w:sz w:val="28"/>
          <w:szCs w:val="28"/>
        </w:rPr>
        <w:t xml:space="preserve">Given </w:t>
      </w:r>
      <w:r w:rsidR="00ED7914">
        <w:rPr>
          <w:sz w:val="28"/>
          <w:szCs w:val="28"/>
        </w:rPr>
        <w:t xml:space="preserve">the government’s previous bad faith in </w:t>
      </w:r>
      <w:proofErr w:type="spellStart"/>
      <w:r w:rsidR="00ED7914">
        <w:rPr>
          <w:i/>
          <w:sz w:val="28"/>
          <w:szCs w:val="28"/>
        </w:rPr>
        <w:t>Nken</w:t>
      </w:r>
      <w:proofErr w:type="spellEnd"/>
      <w:r w:rsidR="00ED7914">
        <w:rPr>
          <w:i/>
          <w:sz w:val="28"/>
          <w:szCs w:val="28"/>
        </w:rPr>
        <w:t xml:space="preserve"> </w:t>
      </w:r>
      <w:r w:rsidR="00ED7914">
        <w:rPr>
          <w:sz w:val="28"/>
          <w:szCs w:val="28"/>
        </w:rPr>
        <w:t xml:space="preserve">and significant flaws in the new policy, Petitioner maintains [his/her] contention that the procedures for </w:t>
      </w:r>
      <w:r w:rsidR="005E56EE">
        <w:rPr>
          <w:sz w:val="28"/>
          <w:szCs w:val="28"/>
        </w:rPr>
        <w:t xml:space="preserve">facilitating </w:t>
      </w:r>
      <w:r w:rsidR="00ED7914">
        <w:rPr>
          <w:sz w:val="28"/>
          <w:szCs w:val="28"/>
        </w:rPr>
        <w:t xml:space="preserve">return are inadequate and removal would cause irreparable harm.  </w:t>
      </w:r>
    </w:p>
    <w:p w:rsidR="00ED7914" w:rsidRDefault="00ED7914" w:rsidP="00DD5BCA">
      <w:pPr>
        <w:rPr>
          <w:sz w:val="28"/>
          <w:szCs w:val="28"/>
        </w:rPr>
      </w:pPr>
    </w:p>
    <w:p w:rsidR="006B1C6A" w:rsidRDefault="00ED7914" w:rsidP="006B1C6A">
      <w:pPr>
        <w:rPr>
          <w:sz w:val="28"/>
          <w:szCs w:val="28"/>
        </w:rPr>
      </w:pPr>
      <w:r w:rsidRPr="006B1C6A">
        <w:rPr>
          <w:sz w:val="28"/>
          <w:szCs w:val="28"/>
        </w:rPr>
        <w:t xml:space="preserve">The new </w:t>
      </w:r>
      <w:r w:rsidR="006B1C6A">
        <w:rPr>
          <w:sz w:val="28"/>
          <w:szCs w:val="28"/>
        </w:rPr>
        <w:t>“</w:t>
      </w:r>
      <w:r w:rsidRPr="006B1C6A">
        <w:rPr>
          <w:sz w:val="28"/>
          <w:szCs w:val="28"/>
        </w:rPr>
        <w:t>policy</w:t>
      </w:r>
      <w:r w:rsidR="006B1C6A">
        <w:rPr>
          <w:sz w:val="28"/>
          <w:szCs w:val="28"/>
        </w:rPr>
        <w:t>”</w:t>
      </w:r>
      <w:r w:rsidRPr="006B1C6A">
        <w:rPr>
          <w:sz w:val="28"/>
          <w:szCs w:val="28"/>
        </w:rPr>
        <w:t xml:space="preserve"> vests unfettered discretion </w:t>
      </w:r>
      <w:r w:rsidR="005E56EE">
        <w:rPr>
          <w:sz w:val="28"/>
          <w:szCs w:val="28"/>
        </w:rPr>
        <w:t xml:space="preserve">with U.S. Immigration &amp; Custom Enforcement regarding </w:t>
      </w:r>
      <w:r w:rsidRPr="006B1C6A">
        <w:rPr>
          <w:sz w:val="28"/>
          <w:szCs w:val="28"/>
        </w:rPr>
        <w:t xml:space="preserve">individuals, like Petitioner, who </w:t>
      </w:r>
      <w:r w:rsidR="006B1C6A" w:rsidRPr="006B1C6A">
        <w:rPr>
          <w:sz w:val="28"/>
          <w:szCs w:val="28"/>
        </w:rPr>
        <w:t xml:space="preserve">are </w:t>
      </w:r>
      <w:r w:rsidRPr="006B1C6A">
        <w:rPr>
          <w:sz w:val="28"/>
          <w:szCs w:val="28"/>
        </w:rPr>
        <w:t xml:space="preserve">not lawful permanent residents, to decide </w:t>
      </w:r>
      <w:r w:rsidRPr="005E56EE">
        <w:rPr>
          <w:sz w:val="28"/>
          <w:szCs w:val="28"/>
        </w:rPr>
        <w:t>if,</w:t>
      </w:r>
      <w:r w:rsidRPr="006B1C6A">
        <w:rPr>
          <w:sz w:val="28"/>
          <w:szCs w:val="28"/>
        </w:rPr>
        <w:t xml:space="preserve"> and </w:t>
      </w:r>
      <w:r w:rsidRPr="005E56EE">
        <w:rPr>
          <w:sz w:val="28"/>
          <w:szCs w:val="28"/>
        </w:rPr>
        <w:t xml:space="preserve">under what circumstances, </w:t>
      </w:r>
      <w:r w:rsidR="006B1C6A" w:rsidRPr="005E56EE">
        <w:rPr>
          <w:sz w:val="28"/>
          <w:szCs w:val="28"/>
        </w:rPr>
        <w:t xml:space="preserve">their </w:t>
      </w:r>
      <w:r w:rsidRPr="005E56EE">
        <w:rPr>
          <w:sz w:val="28"/>
          <w:szCs w:val="28"/>
        </w:rPr>
        <w:t>presence</w:t>
      </w:r>
      <w:r w:rsidRPr="006B1C6A">
        <w:rPr>
          <w:sz w:val="28"/>
          <w:szCs w:val="28"/>
        </w:rPr>
        <w:t xml:space="preserve"> in the </w:t>
      </w:r>
      <w:r w:rsidR="006B1C6A">
        <w:rPr>
          <w:sz w:val="28"/>
          <w:szCs w:val="28"/>
        </w:rPr>
        <w:t xml:space="preserve">U.S. </w:t>
      </w:r>
      <w:r w:rsidRPr="006B1C6A">
        <w:rPr>
          <w:sz w:val="28"/>
          <w:szCs w:val="28"/>
        </w:rPr>
        <w:t xml:space="preserve">is “necessary.”  </w:t>
      </w:r>
      <w:r w:rsidR="006B1C6A">
        <w:rPr>
          <w:sz w:val="28"/>
          <w:szCs w:val="28"/>
        </w:rPr>
        <w:t>2/24/2012</w:t>
      </w:r>
      <w:r w:rsidRPr="006B1C6A">
        <w:rPr>
          <w:sz w:val="28"/>
          <w:szCs w:val="28"/>
        </w:rPr>
        <w:t xml:space="preserve"> Policy.  </w:t>
      </w:r>
      <w:r w:rsidR="006B1C6A" w:rsidRPr="006B1C6A">
        <w:rPr>
          <w:sz w:val="28"/>
          <w:szCs w:val="28"/>
        </w:rPr>
        <w:t xml:space="preserve">The “policy” also puts lower income and indigent litigants at a significant disadvantage by requiring them to pay </w:t>
      </w:r>
      <w:r w:rsidR="006B1C6A">
        <w:rPr>
          <w:sz w:val="28"/>
          <w:szCs w:val="28"/>
        </w:rPr>
        <w:t xml:space="preserve">return </w:t>
      </w:r>
      <w:r w:rsidR="006B1C6A" w:rsidRPr="006B1C6A">
        <w:rPr>
          <w:sz w:val="28"/>
          <w:szCs w:val="28"/>
        </w:rPr>
        <w:t xml:space="preserve">travel costs.  </w:t>
      </w:r>
      <w:r w:rsidR="006B1C6A" w:rsidRPr="006B1C6A">
        <w:rPr>
          <w:sz w:val="28"/>
          <w:szCs w:val="28"/>
        </w:rPr>
        <w:lastRenderedPageBreak/>
        <w:t xml:space="preserve">Furthermore, </w:t>
      </w:r>
      <w:r w:rsidR="005E56EE">
        <w:rPr>
          <w:sz w:val="28"/>
          <w:szCs w:val="28"/>
        </w:rPr>
        <w:t xml:space="preserve">it </w:t>
      </w:r>
      <w:r w:rsidR="006B1C6A" w:rsidRPr="006B1C6A">
        <w:rPr>
          <w:sz w:val="28"/>
          <w:szCs w:val="28"/>
        </w:rPr>
        <w:t>conditions return on possession of a valid foreign passport</w:t>
      </w:r>
      <w:r w:rsidR="005E56EE">
        <w:rPr>
          <w:sz w:val="28"/>
          <w:szCs w:val="28"/>
        </w:rPr>
        <w:t>,</w:t>
      </w:r>
      <w:r w:rsidR="006B1C6A" w:rsidRPr="006B1C6A">
        <w:rPr>
          <w:sz w:val="28"/>
          <w:szCs w:val="28"/>
        </w:rPr>
        <w:t xml:space="preserve"> without exception. </w:t>
      </w:r>
      <w:r w:rsidR="006B1C6A">
        <w:rPr>
          <w:sz w:val="28"/>
          <w:szCs w:val="28"/>
        </w:rPr>
        <w:t xml:space="preserve"> </w:t>
      </w:r>
    </w:p>
    <w:p w:rsidR="006B1C6A" w:rsidRDefault="006B1C6A" w:rsidP="006B1C6A">
      <w:pPr>
        <w:rPr>
          <w:sz w:val="28"/>
          <w:szCs w:val="28"/>
        </w:rPr>
      </w:pPr>
    </w:p>
    <w:p w:rsidR="00ED7914" w:rsidRDefault="006B1C6A" w:rsidP="006B1C6A">
      <w:r>
        <w:rPr>
          <w:sz w:val="28"/>
          <w:szCs w:val="28"/>
        </w:rPr>
        <w:t xml:space="preserve">If the Court is inclined to rely on the </w:t>
      </w:r>
      <w:r w:rsidR="005E56EE">
        <w:rPr>
          <w:sz w:val="28"/>
          <w:szCs w:val="28"/>
        </w:rPr>
        <w:t>“</w:t>
      </w:r>
      <w:r>
        <w:rPr>
          <w:sz w:val="28"/>
          <w:szCs w:val="28"/>
        </w:rPr>
        <w:t>policy,</w:t>
      </w:r>
      <w:r w:rsidR="005E56EE">
        <w:rPr>
          <w:sz w:val="28"/>
          <w:szCs w:val="28"/>
        </w:rPr>
        <w:t>”</w:t>
      </w:r>
      <w:r>
        <w:rPr>
          <w:sz w:val="28"/>
          <w:szCs w:val="28"/>
        </w:rPr>
        <w:t xml:space="preserve"> Petitioner asks the Court to issue a temporary stay and allow [him/her] the opportunity to provide supplemental briefing regarding the </w:t>
      </w:r>
      <w:r w:rsidR="005E56EE">
        <w:rPr>
          <w:sz w:val="28"/>
          <w:szCs w:val="28"/>
        </w:rPr>
        <w:t xml:space="preserve">new “policy’s” </w:t>
      </w:r>
      <w:r>
        <w:rPr>
          <w:sz w:val="28"/>
          <w:szCs w:val="28"/>
        </w:rPr>
        <w:t xml:space="preserve">inadequacies. </w:t>
      </w:r>
      <w:r w:rsidR="005E56EE">
        <w:rPr>
          <w:sz w:val="28"/>
          <w:szCs w:val="28"/>
        </w:rPr>
        <w:t xml:space="preserve"> </w:t>
      </w:r>
      <w:r>
        <w:rPr>
          <w:sz w:val="28"/>
          <w:szCs w:val="28"/>
        </w:rPr>
        <w:t>OSG Letter, at 5 (“Lower courts will therefore have the opportunity to address the adequacy of the government’s procedures for facilitating return in evaluating requests for stays of removal”).</w:t>
      </w:r>
    </w:p>
    <w:p w:rsidR="00ED7914" w:rsidRDefault="00ED7914" w:rsidP="00DD5BCA">
      <w:pPr>
        <w:rPr>
          <w:sz w:val="28"/>
          <w:szCs w:val="28"/>
        </w:rPr>
      </w:pPr>
    </w:p>
    <w:p w:rsidR="00DD5BCA" w:rsidRDefault="00DD5BCA" w:rsidP="00DD5BCA">
      <w:pPr>
        <w:rPr>
          <w:sz w:val="28"/>
          <w:szCs w:val="28"/>
        </w:rPr>
      </w:pPr>
    </w:p>
    <w:p w:rsidR="00DD5BCA" w:rsidRDefault="00DD5BCA" w:rsidP="00DD5BCA">
      <w:pPr>
        <w:ind w:left="4140"/>
        <w:rPr>
          <w:sz w:val="28"/>
          <w:szCs w:val="28"/>
        </w:rPr>
      </w:pPr>
      <w:r>
        <w:rPr>
          <w:sz w:val="28"/>
          <w:szCs w:val="28"/>
        </w:rPr>
        <w:t>Respectfully submitted,</w:t>
      </w:r>
    </w:p>
    <w:p w:rsidR="00DD5BCA" w:rsidRDefault="00DD5BCA" w:rsidP="00DD5BCA">
      <w:pPr>
        <w:ind w:left="4140"/>
        <w:rPr>
          <w:sz w:val="28"/>
          <w:szCs w:val="28"/>
        </w:rPr>
      </w:pPr>
    </w:p>
    <w:p w:rsidR="00005EB4" w:rsidRDefault="00005EB4" w:rsidP="00DD5BCA">
      <w:pPr>
        <w:ind w:left="4140"/>
        <w:rPr>
          <w:sz w:val="28"/>
          <w:szCs w:val="28"/>
        </w:rPr>
      </w:pPr>
    </w:p>
    <w:p w:rsidR="00DD5BCA" w:rsidRDefault="00DD5BCA" w:rsidP="00DD5BCA">
      <w:pPr>
        <w:ind w:left="4140"/>
        <w:rPr>
          <w:sz w:val="28"/>
          <w:szCs w:val="28"/>
        </w:rPr>
      </w:pPr>
      <w:r>
        <w:rPr>
          <w:sz w:val="28"/>
          <w:szCs w:val="28"/>
        </w:rPr>
        <w:t>____________________________</w:t>
      </w:r>
    </w:p>
    <w:p w:rsidR="006B1C6A" w:rsidRDefault="006B1C6A" w:rsidP="00DD5BCA">
      <w:pPr>
        <w:rPr>
          <w:sz w:val="28"/>
          <w:szCs w:val="28"/>
        </w:rPr>
      </w:pPr>
    </w:p>
    <w:p w:rsidR="00BA1CB1" w:rsidRDefault="00BA1CB1" w:rsidP="00DD5BCA">
      <w:pPr>
        <w:rPr>
          <w:sz w:val="28"/>
          <w:szCs w:val="28"/>
        </w:rPr>
      </w:pPr>
    </w:p>
    <w:p w:rsidR="00005EB4" w:rsidRDefault="00005EB4" w:rsidP="00DD5BCA">
      <w:pPr>
        <w:rPr>
          <w:sz w:val="28"/>
          <w:szCs w:val="28"/>
        </w:rPr>
      </w:pPr>
    </w:p>
    <w:p w:rsidR="00DD5BCA" w:rsidRDefault="00DD5BCA" w:rsidP="00DD5BCA">
      <w:pPr>
        <w:rPr>
          <w:sz w:val="28"/>
          <w:szCs w:val="28"/>
        </w:rPr>
      </w:pPr>
      <w:r>
        <w:rPr>
          <w:sz w:val="28"/>
          <w:szCs w:val="28"/>
        </w:rPr>
        <w:t>cc:</w:t>
      </w:r>
      <w:r>
        <w:rPr>
          <w:sz w:val="28"/>
          <w:szCs w:val="28"/>
        </w:rPr>
        <w:tab/>
      </w:r>
    </w:p>
    <w:p w:rsidR="00DD5BCA" w:rsidRDefault="00DD5BCA" w:rsidP="00DD5BCA">
      <w:pPr>
        <w:rPr>
          <w:sz w:val="28"/>
          <w:szCs w:val="28"/>
        </w:rPr>
      </w:pPr>
      <w:r>
        <w:rPr>
          <w:sz w:val="28"/>
          <w:szCs w:val="28"/>
        </w:rPr>
        <w:t>Office of Immigration Litigation</w:t>
      </w:r>
    </w:p>
    <w:p w:rsidR="00DD5BCA" w:rsidRDefault="00DD5BCA" w:rsidP="00DD5BCA">
      <w:pPr>
        <w:rPr>
          <w:sz w:val="28"/>
          <w:szCs w:val="28"/>
        </w:rPr>
      </w:pPr>
      <w:smartTag w:uri="urn:schemas-microsoft-com:office:smarttags" w:element="country-region">
        <w:smartTag w:uri="urn:schemas-microsoft-com:office:smarttags" w:element="place">
          <w:r>
            <w:rPr>
              <w:sz w:val="28"/>
              <w:szCs w:val="28"/>
            </w:rPr>
            <w:t>U.S.</w:t>
          </w:r>
        </w:smartTag>
      </w:smartTag>
      <w:r>
        <w:rPr>
          <w:sz w:val="28"/>
          <w:szCs w:val="28"/>
        </w:rPr>
        <w:t xml:space="preserve"> Department of Justice, Civil Division</w:t>
      </w:r>
    </w:p>
    <w:p w:rsidR="00DD5BCA" w:rsidRDefault="00DD5BCA" w:rsidP="00DD5BCA">
      <w:pPr>
        <w:rPr>
          <w:sz w:val="28"/>
          <w:szCs w:val="28"/>
        </w:rPr>
      </w:pPr>
      <w:smartTag w:uri="urn:schemas-microsoft-com:office:smarttags" w:element="address">
        <w:smartTag w:uri="urn:schemas-microsoft-com:office:smarttags" w:element="Street">
          <w:r>
            <w:rPr>
              <w:sz w:val="28"/>
              <w:szCs w:val="28"/>
            </w:rPr>
            <w:t>P.O. Box</w:t>
          </w:r>
        </w:smartTag>
        <w:r>
          <w:rPr>
            <w:sz w:val="28"/>
            <w:szCs w:val="28"/>
          </w:rPr>
          <w:t xml:space="preserve"> 878</w:t>
        </w:r>
      </w:smartTag>
      <w:r>
        <w:rPr>
          <w:sz w:val="28"/>
          <w:szCs w:val="28"/>
        </w:rPr>
        <w:t>, Ben Franklin Station</w:t>
      </w:r>
    </w:p>
    <w:p w:rsidR="00DD5BCA" w:rsidRDefault="00DD5BCA" w:rsidP="00DD5BCA">
      <w:pPr>
        <w:rPr>
          <w:sz w:val="28"/>
          <w:szCs w:val="28"/>
        </w:rPr>
      </w:pPr>
      <w:smartTag w:uri="urn:schemas-microsoft-com:office:smarttags" w:element="place">
        <w:smartTag w:uri="urn:schemas-microsoft-com:office:smarttags" w:element="City">
          <w:r>
            <w:rPr>
              <w:sz w:val="28"/>
              <w:szCs w:val="28"/>
            </w:rPr>
            <w:t>Washington</w:t>
          </w:r>
        </w:smartTag>
        <w:r>
          <w:rPr>
            <w:sz w:val="28"/>
            <w:szCs w:val="28"/>
          </w:rPr>
          <w:t xml:space="preserve">, </w:t>
        </w:r>
        <w:smartTag w:uri="urn:schemas-microsoft-com:office:smarttags" w:element="State">
          <w:r>
            <w:rPr>
              <w:sz w:val="28"/>
              <w:szCs w:val="28"/>
            </w:rPr>
            <w:t>D.C.</w:t>
          </w:r>
        </w:smartTag>
        <w:r>
          <w:rPr>
            <w:sz w:val="28"/>
            <w:szCs w:val="28"/>
          </w:rPr>
          <w:t xml:space="preserve"> </w:t>
        </w:r>
        <w:smartTag w:uri="urn:schemas-microsoft-com:office:smarttags" w:element="PostalCode">
          <w:r>
            <w:rPr>
              <w:sz w:val="28"/>
              <w:szCs w:val="28"/>
            </w:rPr>
            <w:t>20044</w:t>
          </w:r>
        </w:smartTag>
      </w:smartTag>
    </w:p>
    <w:p w:rsidR="005F66F3" w:rsidRDefault="005F66F3" w:rsidP="00DD5BCA"/>
    <w:p w:rsidR="00DC519E" w:rsidRDefault="00DC519E" w:rsidP="00D447BF">
      <w:pPr>
        <w:rPr>
          <w:sz w:val="28"/>
          <w:szCs w:val="28"/>
        </w:rPr>
      </w:pPr>
    </w:p>
    <w:p w:rsidR="00D447BF" w:rsidRDefault="00D447BF" w:rsidP="00D447BF">
      <w:pPr>
        <w:rPr>
          <w:sz w:val="28"/>
          <w:szCs w:val="28"/>
        </w:rPr>
      </w:pPr>
      <w:proofErr w:type="spellStart"/>
      <w:r>
        <w:rPr>
          <w:sz w:val="28"/>
          <w:szCs w:val="28"/>
        </w:rPr>
        <w:t>Encl</w:t>
      </w:r>
      <w:proofErr w:type="spellEnd"/>
      <w:r>
        <w:rPr>
          <w:sz w:val="28"/>
          <w:szCs w:val="28"/>
        </w:rPr>
        <w:t xml:space="preserve">: </w:t>
      </w:r>
    </w:p>
    <w:p w:rsidR="00D447BF" w:rsidRDefault="00D447BF" w:rsidP="00D447BF">
      <w:pPr>
        <w:rPr>
          <w:sz w:val="28"/>
          <w:szCs w:val="28"/>
        </w:rPr>
      </w:pPr>
      <w:r>
        <w:rPr>
          <w:sz w:val="28"/>
          <w:szCs w:val="28"/>
        </w:rPr>
        <w:t xml:space="preserve">Declaration of Jessica </w:t>
      </w:r>
      <w:proofErr w:type="spellStart"/>
      <w:r>
        <w:rPr>
          <w:sz w:val="28"/>
          <w:szCs w:val="28"/>
        </w:rPr>
        <w:t>Chicco</w:t>
      </w:r>
      <w:proofErr w:type="spellEnd"/>
    </w:p>
    <w:p w:rsidR="00D447BF" w:rsidRDefault="00D447BF" w:rsidP="00DD5BCA"/>
    <w:p w:rsidR="00D447BF" w:rsidRPr="00D447BF" w:rsidRDefault="00D447BF" w:rsidP="00DD5BCA">
      <w:pPr>
        <w:rPr>
          <w:sz w:val="28"/>
          <w:szCs w:val="28"/>
        </w:rPr>
      </w:pPr>
      <w:r w:rsidRPr="00D447BF">
        <w:rPr>
          <w:sz w:val="28"/>
          <w:szCs w:val="28"/>
        </w:rPr>
        <w:t xml:space="preserve">[Note: this declaration is available for download at: </w:t>
      </w:r>
    </w:p>
    <w:p w:rsidR="00D447BF" w:rsidRPr="00D447BF" w:rsidRDefault="00A90039" w:rsidP="00DD5BCA">
      <w:pPr>
        <w:rPr>
          <w:sz w:val="28"/>
          <w:szCs w:val="28"/>
        </w:rPr>
      </w:pPr>
      <w:hyperlink r:id="rId16" w:history="1">
        <w:r w:rsidR="00D447BF" w:rsidRPr="00D447BF">
          <w:rPr>
            <w:rStyle w:val="Hyperlink"/>
            <w:sz w:val="28"/>
            <w:szCs w:val="28"/>
          </w:rPr>
          <w:t>http://www.nationalimmigrationproject.org/legalresources/J_Chicco_Declaration_for_Lam_v_Holder.pdf</w:t>
        </w:r>
      </w:hyperlink>
      <w:r w:rsidR="00D447BF" w:rsidRPr="00D447BF">
        <w:rPr>
          <w:sz w:val="28"/>
          <w:szCs w:val="28"/>
        </w:rPr>
        <w:t xml:space="preserve"> ]</w:t>
      </w:r>
    </w:p>
    <w:sectPr w:rsidR="00D447BF" w:rsidRPr="00D447BF" w:rsidSect="005154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275" w:rsidRDefault="00962275" w:rsidP="00967A8A">
      <w:r>
        <w:separator/>
      </w:r>
    </w:p>
  </w:endnote>
  <w:endnote w:type="continuationSeparator" w:id="0">
    <w:p w:rsidR="00962275" w:rsidRDefault="00962275" w:rsidP="00967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275" w:rsidRDefault="00962275" w:rsidP="00967A8A">
      <w:r>
        <w:separator/>
      </w:r>
    </w:p>
  </w:footnote>
  <w:footnote w:type="continuationSeparator" w:id="0">
    <w:p w:rsidR="00962275" w:rsidRDefault="00962275" w:rsidP="00967A8A">
      <w:r>
        <w:continuationSeparator/>
      </w:r>
    </w:p>
  </w:footnote>
  <w:footnote w:id="1">
    <w:p w:rsidR="00962275" w:rsidRPr="00967A8A" w:rsidRDefault="00962275">
      <w:pPr>
        <w:pStyle w:val="FootnoteText"/>
      </w:pPr>
      <w:r>
        <w:rPr>
          <w:rStyle w:val="FootnoteReference"/>
        </w:rPr>
        <w:footnoteRef/>
      </w:r>
      <w:r>
        <w:t xml:space="preserve"> </w:t>
      </w:r>
      <w:r>
        <w:tab/>
      </w:r>
      <w:r w:rsidRPr="00967A8A">
        <w:rPr>
          <w:i/>
        </w:rPr>
        <w:t>See</w:t>
      </w:r>
      <w:r w:rsidRPr="00967A8A">
        <w:t xml:space="preserve"> February 24, 2012 ICE Return Policy, located at: </w:t>
      </w:r>
      <w:r w:rsidRPr="00967A8A">
        <w:tab/>
      </w:r>
      <w:hyperlink r:id="rId1" w:history="1">
        <w:r w:rsidRPr="0089336D">
          <w:rPr>
            <w:rStyle w:val="Hyperlink"/>
          </w:rPr>
          <w:t>http://nationalimmigrationproject.org/legalresources/ICE_Return_Policy_Memo_Feb_2012.pdf</w:t>
        </w:r>
      </w:hyperlink>
      <w:r>
        <w:t>.</w:t>
      </w:r>
    </w:p>
  </w:footnote>
  <w:footnote w:id="2">
    <w:p w:rsidR="00962275" w:rsidRPr="00967A8A" w:rsidRDefault="00962275">
      <w:pPr>
        <w:pStyle w:val="FootnoteText"/>
      </w:pPr>
      <w:r w:rsidRPr="00967A8A">
        <w:rPr>
          <w:rStyle w:val="FootnoteReference"/>
        </w:rPr>
        <w:footnoteRef/>
      </w:r>
      <w:r w:rsidRPr="00967A8A">
        <w:t xml:space="preserve"> </w:t>
      </w:r>
      <w:r w:rsidRPr="00967A8A">
        <w:tab/>
      </w:r>
      <w:r w:rsidRPr="00967A8A">
        <w:rPr>
          <w:i/>
        </w:rPr>
        <w:t>See</w:t>
      </w:r>
      <w:r w:rsidRPr="00967A8A">
        <w:t xml:space="preserve"> OSG email communications in </w:t>
      </w:r>
      <w:proofErr w:type="spellStart"/>
      <w:r w:rsidRPr="00967A8A">
        <w:rPr>
          <w:i/>
        </w:rPr>
        <w:t>Nken</w:t>
      </w:r>
      <w:proofErr w:type="spellEnd"/>
      <w:r w:rsidRPr="00967A8A">
        <w:t xml:space="preserve">, located at: </w:t>
      </w:r>
      <w:r w:rsidRPr="00967A8A">
        <w:tab/>
      </w:r>
      <w:hyperlink r:id="rId2" w:history="1">
        <w:r w:rsidR="00EE2D3E" w:rsidRPr="009E0613">
          <w:rPr>
            <w:rStyle w:val="Hyperlink"/>
          </w:rPr>
          <w:t>http://www.nationalimmigrationproject.org/legalresources/NIPNLG_v_DHS/OSG%20Email%20Communications%20in%20Nken%20-%20Released%20April%2024%202012.pdf</w:t>
        </w:r>
      </w:hyperlink>
      <w:r w:rsidR="00EE2D3E">
        <w:t>.</w:t>
      </w:r>
      <w:r>
        <w:t xml:space="preserve">  </w:t>
      </w:r>
    </w:p>
  </w:footnote>
  <w:footnote w:id="3">
    <w:p w:rsidR="00962275" w:rsidRPr="00967A8A" w:rsidRDefault="00962275">
      <w:pPr>
        <w:pStyle w:val="FootnoteText"/>
      </w:pPr>
      <w:r w:rsidRPr="00967A8A">
        <w:rPr>
          <w:rStyle w:val="FootnoteReference"/>
        </w:rPr>
        <w:footnoteRef/>
      </w:r>
      <w:r w:rsidRPr="00967A8A">
        <w:t xml:space="preserve"> </w:t>
      </w:r>
      <w:r w:rsidRPr="00967A8A">
        <w:tab/>
      </w:r>
      <w:r w:rsidRPr="00967A8A">
        <w:rPr>
          <w:i/>
        </w:rPr>
        <w:t xml:space="preserve">See </w:t>
      </w:r>
      <w:r w:rsidRPr="00967A8A">
        <w:t xml:space="preserve">OSG letter to the Supreme Court in </w:t>
      </w:r>
      <w:proofErr w:type="spellStart"/>
      <w:r w:rsidRPr="00967A8A">
        <w:rPr>
          <w:i/>
        </w:rPr>
        <w:t>Nken</w:t>
      </w:r>
      <w:proofErr w:type="spellEnd"/>
      <w:r w:rsidRPr="00967A8A">
        <w:t xml:space="preserve">, located at: </w:t>
      </w:r>
    </w:p>
    <w:p w:rsidR="00962275" w:rsidRPr="00967A8A" w:rsidRDefault="00962275">
      <w:pPr>
        <w:pStyle w:val="FootnoteText"/>
      </w:pPr>
      <w:r w:rsidRPr="00967A8A">
        <w:tab/>
      </w:r>
      <w:hyperlink r:id="rId3" w:history="1">
        <w:r w:rsidR="00EE2D3E" w:rsidRPr="009E0613">
          <w:rPr>
            <w:rStyle w:val="Hyperlink"/>
          </w:rPr>
          <w:t>http://www.nationalimmigrationproject.org/legalresources/NIPNLG_v_DHS/OSG%20Email%20Communications%20in%20Nken%20-%20Released%20April%2024%202012.pdf</w:t>
        </w:r>
      </w:hyperlink>
      <w:r>
        <w:t>.</w:t>
      </w:r>
      <w:r w:rsidR="00EE2D3E">
        <w:t xml:space="preserve">  </w:t>
      </w:r>
    </w:p>
  </w:footnote>
  <w:footnote w:id="4">
    <w:p w:rsidR="00962275" w:rsidRDefault="00962275" w:rsidP="00967A8A">
      <w:pPr>
        <w:spacing w:line="100" w:lineRule="atLeast"/>
      </w:pPr>
      <w:r w:rsidRPr="00967A8A">
        <w:rPr>
          <w:rStyle w:val="FootnoteReference"/>
          <w:sz w:val="20"/>
          <w:szCs w:val="20"/>
        </w:rPr>
        <w:footnoteRef/>
      </w:r>
      <w:r w:rsidRPr="00967A8A">
        <w:rPr>
          <w:sz w:val="20"/>
          <w:szCs w:val="20"/>
        </w:rPr>
        <w:t xml:space="preserve"> </w:t>
      </w:r>
      <w:r w:rsidRPr="00967A8A">
        <w:rPr>
          <w:sz w:val="20"/>
          <w:szCs w:val="20"/>
        </w:rPr>
        <w:tab/>
        <w:t xml:space="preserve">See </w:t>
      </w:r>
      <w:r>
        <w:rPr>
          <w:sz w:val="20"/>
          <w:szCs w:val="20"/>
        </w:rPr>
        <w:t xml:space="preserve">Advisory and Case Update: </w:t>
      </w:r>
      <w:r w:rsidRPr="00967A8A">
        <w:rPr>
          <w:bCs/>
          <w:sz w:val="20"/>
          <w:szCs w:val="20"/>
        </w:rPr>
        <w:t xml:space="preserve">New FAQ Reveals Serious Flaws in ICE “Policy” for Facilitating Return After Removal &amp; Disclosed OSG Emails Show Lack of Policy and Practice at the Time of </w:t>
      </w:r>
      <w:proofErr w:type="spellStart"/>
      <w:r w:rsidRPr="00967A8A">
        <w:rPr>
          <w:bCs/>
          <w:i/>
          <w:iCs/>
          <w:sz w:val="20"/>
          <w:szCs w:val="20"/>
        </w:rPr>
        <w:t>Nken</w:t>
      </w:r>
      <w:proofErr w:type="spellEnd"/>
      <w:r>
        <w:rPr>
          <w:bCs/>
          <w:iCs/>
          <w:sz w:val="20"/>
          <w:szCs w:val="20"/>
        </w:rPr>
        <w:t>, located at:</w:t>
      </w:r>
    </w:p>
    <w:p w:rsidR="00962275" w:rsidRDefault="00A90039">
      <w:pPr>
        <w:pStyle w:val="FootnoteText"/>
      </w:pPr>
      <w:hyperlink r:id="rId4" w:history="1">
        <w:r w:rsidR="00962275" w:rsidRPr="0089336D">
          <w:rPr>
            <w:rStyle w:val="Hyperlink"/>
          </w:rPr>
          <w:t>http://nationalimmigrationproject.org/legalresources/NIPNLG_v_DHS/Advisory%20and%20Case%20Update%20on%20FAQ%20and%20OSG%20Emails%20-%20April%2025%202012.pdf</w:t>
        </w:r>
      </w:hyperlink>
      <w:r w:rsidR="00962275">
        <w:t xml:space="preserve">. </w:t>
      </w:r>
    </w:p>
  </w:footnote>
  <w:footnote w:id="5">
    <w:p w:rsidR="00962275" w:rsidRDefault="00962275" w:rsidP="00CB268C">
      <w:pPr>
        <w:pStyle w:val="FootnoteText"/>
      </w:pPr>
      <w:r>
        <w:rPr>
          <w:rStyle w:val="FootnoteReference"/>
        </w:rPr>
        <w:footnoteRef/>
      </w:r>
      <w:r>
        <w:t xml:space="preserve"> </w:t>
      </w:r>
      <w:r>
        <w:tab/>
        <w:t xml:space="preserve">The advisory of April 25, 2012, </w:t>
      </w:r>
      <w:r w:rsidRPr="00293CEC">
        <w:rPr>
          <w:i/>
        </w:rPr>
        <w:t>supra</w:t>
      </w:r>
      <w:r>
        <w:t xml:space="preserve"> n.4, references some (not all) of the flaws in the new return policy.</w:t>
      </w:r>
    </w:p>
  </w:footnote>
  <w:footnote w:id="6">
    <w:p w:rsidR="00962275" w:rsidRDefault="00962275" w:rsidP="008D0C99">
      <w:pPr>
        <w:pStyle w:val="NormalWeb"/>
        <w:spacing w:before="0" w:beforeAutospacing="0" w:after="0" w:afterAutospacing="0"/>
      </w:pPr>
      <w:r>
        <w:rPr>
          <w:rStyle w:val="FootnoteReference"/>
        </w:rPr>
        <w:footnoteRef/>
      </w:r>
      <w:r>
        <w:t xml:space="preserve"> </w:t>
      </w:r>
      <w:r>
        <w:tab/>
      </w:r>
      <w:r w:rsidRPr="00CB268C">
        <w:rPr>
          <w:sz w:val="20"/>
          <w:szCs w:val="20"/>
        </w:rPr>
        <w:t>FRAP 28</w:t>
      </w:r>
      <w:r w:rsidRPr="00293CEC">
        <w:rPr>
          <w:rStyle w:val="Strong"/>
          <w:b w:val="0"/>
          <w:sz w:val="20"/>
          <w:szCs w:val="20"/>
        </w:rPr>
        <w:t>(j)</w:t>
      </w:r>
      <w:r>
        <w:rPr>
          <w:rStyle w:val="Strong"/>
          <w:sz w:val="20"/>
          <w:szCs w:val="20"/>
        </w:rPr>
        <w:t xml:space="preserve"> </w:t>
      </w:r>
      <w:r>
        <w:rPr>
          <w:rStyle w:val="Strong"/>
          <w:b w:val="0"/>
          <w:sz w:val="20"/>
          <w:szCs w:val="20"/>
        </w:rPr>
        <w:t xml:space="preserve">permits a party to promptly file a response letter provided it does not exceed 350 words. </w:t>
      </w:r>
    </w:p>
  </w:footnote>
  <w:footnote w:id="7">
    <w:p w:rsidR="00962275" w:rsidRDefault="00962275" w:rsidP="004B38B0">
      <w:pPr>
        <w:spacing w:line="100" w:lineRule="atLeast"/>
      </w:pPr>
      <w:r w:rsidRPr="004B38B0">
        <w:rPr>
          <w:rStyle w:val="FootnoteReference"/>
          <w:sz w:val="20"/>
          <w:szCs w:val="20"/>
        </w:rPr>
        <w:footnoteRef/>
      </w:r>
      <w:r w:rsidRPr="004B38B0">
        <w:rPr>
          <w:sz w:val="20"/>
          <w:szCs w:val="20"/>
        </w:rPr>
        <w:t xml:space="preserve"> </w:t>
      </w:r>
      <w:r w:rsidRPr="004B38B0">
        <w:rPr>
          <w:sz w:val="20"/>
          <w:szCs w:val="20"/>
        </w:rPr>
        <w:tab/>
        <w:t xml:space="preserve">The letter is available at:  </w:t>
      </w:r>
      <w:hyperlink r:id="rId5" w:history="1">
        <w:r w:rsidR="001960D6" w:rsidRPr="009E0613">
          <w:rPr>
            <w:rStyle w:val="Hyperlink"/>
            <w:sz w:val="20"/>
            <w:szCs w:val="20"/>
          </w:rPr>
          <w:t>http://nationalimmigrationproject.org/legalresources/NIPNLG_v_DHS/AG%20Ltr%20Calling%20for%20Cases%20of%20Noncitizens%20Entitled%20to%20Return%20-%20April%2025%202012.pdf</w:t>
        </w:r>
      </w:hyperlink>
      <w:r w:rsidR="001960D6">
        <w:rPr>
          <w:sz w:val="20"/>
          <w:szCs w:val="20"/>
        </w:rPr>
        <w:t xml:space="preserve"> </w:t>
      </w:r>
      <w:r>
        <w:rPr>
          <w:sz w:val="20"/>
          <w:szCs w:val="20"/>
        </w:rPr>
        <w:t>.</w:t>
      </w:r>
    </w:p>
  </w:footnote>
  <w:footnote w:id="8">
    <w:p w:rsidR="00962275" w:rsidRDefault="00962275" w:rsidP="004B38B0">
      <w:pPr>
        <w:pStyle w:val="FootnoteText"/>
      </w:pPr>
      <w:r>
        <w:rPr>
          <w:rStyle w:val="FootnoteReference"/>
        </w:rPr>
        <w:footnoteRef/>
      </w:r>
      <w:r>
        <w:t xml:space="preserve"> </w:t>
      </w:r>
      <w:r>
        <w:tab/>
        <w:t xml:space="preserve">The letter is addressed to “Advocates” but it the distribution list also includes private attorneys, news agencies, policy groups, government officials, and the well-known anti-immigrant group FAIR.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BCA"/>
    <w:rsid w:val="00005EB4"/>
    <w:rsid w:val="001960D6"/>
    <w:rsid w:val="001A1A2F"/>
    <w:rsid w:val="00256E65"/>
    <w:rsid w:val="002803AE"/>
    <w:rsid w:val="00293CEC"/>
    <w:rsid w:val="002B3841"/>
    <w:rsid w:val="003449EA"/>
    <w:rsid w:val="003869E4"/>
    <w:rsid w:val="003911DA"/>
    <w:rsid w:val="003D17C7"/>
    <w:rsid w:val="003F5923"/>
    <w:rsid w:val="004B38B0"/>
    <w:rsid w:val="00515485"/>
    <w:rsid w:val="005E56EE"/>
    <w:rsid w:val="005F66F3"/>
    <w:rsid w:val="006B1C6A"/>
    <w:rsid w:val="006E2BCC"/>
    <w:rsid w:val="00876B26"/>
    <w:rsid w:val="008D0C99"/>
    <w:rsid w:val="00962275"/>
    <w:rsid w:val="00967A8A"/>
    <w:rsid w:val="00A90039"/>
    <w:rsid w:val="00BA1CB1"/>
    <w:rsid w:val="00BA5C8C"/>
    <w:rsid w:val="00CB268C"/>
    <w:rsid w:val="00CB6B78"/>
    <w:rsid w:val="00D447BF"/>
    <w:rsid w:val="00DC519E"/>
    <w:rsid w:val="00DD5BCA"/>
    <w:rsid w:val="00ED7914"/>
    <w:rsid w:val="00EE2D3E"/>
    <w:rsid w:val="00F16BED"/>
    <w:rsid w:val="00F54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BCA"/>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5BCA"/>
    <w:rPr>
      <w:rFonts w:ascii="Tahoma" w:hAnsi="Tahoma" w:cs="Tahoma"/>
      <w:sz w:val="16"/>
      <w:szCs w:val="16"/>
    </w:rPr>
  </w:style>
  <w:style w:type="character" w:customStyle="1" w:styleId="BalloonTextChar">
    <w:name w:val="Balloon Text Char"/>
    <w:basedOn w:val="DefaultParagraphFont"/>
    <w:link w:val="BalloonText"/>
    <w:uiPriority w:val="99"/>
    <w:semiHidden/>
    <w:rsid w:val="00DD5BCA"/>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967A8A"/>
    <w:rPr>
      <w:sz w:val="20"/>
      <w:szCs w:val="20"/>
    </w:rPr>
  </w:style>
  <w:style w:type="character" w:customStyle="1" w:styleId="FootnoteTextChar">
    <w:name w:val="Footnote Text Char"/>
    <w:basedOn w:val="DefaultParagraphFont"/>
    <w:link w:val="FootnoteText"/>
    <w:uiPriority w:val="99"/>
    <w:semiHidden/>
    <w:rsid w:val="00967A8A"/>
    <w:rPr>
      <w:rFonts w:eastAsia="Times New Roman" w:cs="Times New Roman"/>
      <w:sz w:val="20"/>
      <w:szCs w:val="20"/>
    </w:rPr>
  </w:style>
  <w:style w:type="character" w:styleId="FootnoteReference">
    <w:name w:val="footnote reference"/>
    <w:basedOn w:val="DefaultParagraphFont"/>
    <w:uiPriority w:val="99"/>
    <w:semiHidden/>
    <w:unhideWhenUsed/>
    <w:rsid w:val="00967A8A"/>
    <w:rPr>
      <w:vertAlign w:val="superscript"/>
    </w:rPr>
  </w:style>
  <w:style w:type="character" w:styleId="Hyperlink">
    <w:name w:val="Hyperlink"/>
    <w:basedOn w:val="DefaultParagraphFont"/>
    <w:uiPriority w:val="99"/>
    <w:unhideWhenUsed/>
    <w:rsid w:val="00967A8A"/>
    <w:rPr>
      <w:color w:val="0000FF" w:themeColor="hyperlink"/>
      <w:u w:val="single"/>
    </w:rPr>
  </w:style>
  <w:style w:type="paragraph" w:styleId="NormalWeb">
    <w:name w:val="Normal (Web)"/>
    <w:basedOn w:val="Normal"/>
    <w:uiPriority w:val="99"/>
    <w:unhideWhenUsed/>
    <w:rsid w:val="00293CEC"/>
    <w:pPr>
      <w:spacing w:before="100" w:beforeAutospacing="1" w:after="100" w:afterAutospacing="1"/>
    </w:pPr>
  </w:style>
  <w:style w:type="character" w:styleId="Strong">
    <w:name w:val="Strong"/>
    <w:basedOn w:val="DefaultParagraphFont"/>
    <w:uiPriority w:val="22"/>
    <w:qFormat/>
    <w:rsid w:val="00293C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BCA"/>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5BCA"/>
    <w:rPr>
      <w:rFonts w:ascii="Tahoma" w:hAnsi="Tahoma" w:cs="Tahoma"/>
      <w:sz w:val="16"/>
      <w:szCs w:val="16"/>
    </w:rPr>
  </w:style>
  <w:style w:type="character" w:customStyle="1" w:styleId="BalloonTextChar">
    <w:name w:val="Balloon Text Char"/>
    <w:basedOn w:val="DefaultParagraphFont"/>
    <w:link w:val="BalloonText"/>
    <w:uiPriority w:val="99"/>
    <w:semiHidden/>
    <w:rsid w:val="00DD5BCA"/>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967A8A"/>
    <w:rPr>
      <w:sz w:val="20"/>
      <w:szCs w:val="20"/>
    </w:rPr>
  </w:style>
  <w:style w:type="character" w:customStyle="1" w:styleId="FootnoteTextChar">
    <w:name w:val="Footnote Text Char"/>
    <w:basedOn w:val="DefaultParagraphFont"/>
    <w:link w:val="FootnoteText"/>
    <w:uiPriority w:val="99"/>
    <w:semiHidden/>
    <w:rsid w:val="00967A8A"/>
    <w:rPr>
      <w:rFonts w:eastAsia="Times New Roman" w:cs="Times New Roman"/>
      <w:sz w:val="20"/>
      <w:szCs w:val="20"/>
    </w:rPr>
  </w:style>
  <w:style w:type="character" w:styleId="FootnoteReference">
    <w:name w:val="footnote reference"/>
    <w:basedOn w:val="DefaultParagraphFont"/>
    <w:uiPriority w:val="99"/>
    <w:semiHidden/>
    <w:unhideWhenUsed/>
    <w:rsid w:val="00967A8A"/>
    <w:rPr>
      <w:vertAlign w:val="superscript"/>
    </w:rPr>
  </w:style>
  <w:style w:type="character" w:styleId="Hyperlink">
    <w:name w:val="Hyperlink"/>
    <w:basedOn w:val="DefaultParagraphFont"/>
    <w:uiPriority w:val="99"/>
    <w:unhideWhenUsed/>
    <w:rsid w:val="00967A8A"/>
    <w:rPr>
      <w:color w:val="0000FF" w:themeColor="hyperlink"/>
      <w:u w:val="single"/>
    </w:rPr>
  </w:style>
  <w:style w:type="paragraph" w:styleId="NormalWeb">
    <w:name w:val="Normal (Web)"/>
    <w:basedOn w:val="Normal"/>
    <w:uiPriority w:val="99"/>
    <w:unhideWhenUsed/>
    <w:rsid w:val="00293CEC"/>
    <w:pPr>
      <w:spacing w:before="100" w:beforeAutospacing="1" w:after="100" w:afterAutospacing="1"/>
    </w:pPr>
  </w:style>
  <w:style w:type="character" w:styleId="Strong">
    <w:name w:val="Strong"/>
    <w:basedOn w:val="DefaultParagraphFont"/>
    <w:uiPriority w:val="22"/>
    <w:qFormat/>
    <w:rsid w:val="00293C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1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ationalimmigrationproject.org/legalresources/J_Chicco_Declaration_for_Lam_v_Holder.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jessica.chicco@bc.edu"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trina@nationalimmigrationproject.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nationalimmigrationproject.org/legalresources/NIPNLG_v_DHS/OSG%20Email%20Communications%20in%20Nken%20-%20Released%20April%2024%202012.pdf" TargetMode="External"/><Relationship Id="rId2" Type="http://schemas.openxmlformats.org/officeDocument/2006/relationships/hyperlink" Target="http://www.nationalimmigrationproject.org/legalresources/NIPNLG_v_DHS/OSG%20Email%20Communications%20in%20Nken%20-%20Released%20April%2024%202012.pdf" TargetMode="External"/><Relationship Id="rId1" Type="http://schemas.openxmlformats.org/officeDocument/2006/relationships/hyperlink" Target="http://nationalimmigrationproject.org/legalresources/ICE_Return_Policy_Memo_Feb_2012.pdf" TargetMode="External"/><Relationship Id="rId5" Type="http://schemas.openxmlformats.org/officeDocument/2006/relationships/hyperlink" Target="http://nationalimmigrationproject.org/legalresources/NIPNLG_v_DHS/AG%20Ltr%20Calling%20for%20Cases%20of%20Noncitizens%20Entitled%20to%20Return%20-%20April%2025%202012.pdf" TargetMode="External"/><Relationship Id="rId4" Type="http://schemas.openxmlformats.org/officeDocument/2006/relationships/hyperlink" Target="http://nationalimmigrationproject.org/legalresources/NIPNLG_v_DHS/Advisory%20and%20Case%20Update%20on%20FAQ%20and%20OSG%20Emails%20-%20April%2025%20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FDA94-1DB1-439A-B165-483EA5299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Trina Realmuto</dc:creator>
  <cp:lastModifiedBy>Intern2</cp:lastModifiedBy>
  <cp:revision>2</cp:revision>
  <dcterms:created xsi:type="dcterms:W3CDTF">2015-09-18T22:25:00Z</dcterms:created>
  <dcterms:modified xsi:type="dcterms:W3CDTF">2015-09-18T22:25:00Z</dcterms:modified>
</cp:coreProperties>
</file>